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A5947" w14:textId="26C2761F" w:rsidR="009510EA" w:rsidRDefault="009510EA"/>
    <w:p w14:paraId="0D3A3B63" w14:textId="0E04FA51" w:rsidR="00E42530" w:rsidRDefault="00E42530"/>
    <w:p w14:paraId="7003B57D" w14:textId="69285AD1" w:rsidR="00E42530" w:rsidRPr="005E778D" w:rsidRDefault="00E42530" w:rsidP="00BB33B7">
      <w:pPr>
        <w:jc w:val="center"/>
        <w:rPr>
          <w:rFonts w:ascii="Times New Roman" w:hAnsi="Times New Roman" w:cs="Times New Roman"/>
          <w:b/>
          <w:bCs/>
          <w:color w:val="009999"/>
          <w:sz w:val="32"/>
          <w:szCs w:val="32"/>
        </w:rPr>
      </w:pPr>
      <w:r w:rsidRPr="005E778D">
        <w:rPr>
          <w:rFonts w:ascii="Times New Roman" w:hAnsi="Times New Roman" w:cs="Times New Roman"/>
          <w:b/>
          <w:bCs/>
          <w:color w:val="009999"/>
          <w:sz w:val="32"/>
          <w:szCs w:val="32"/>
        </w:rPr>
        <w:t>Керівний документ EUCAST щодо інфекційного ендокардиту:</w:t>
      </w:r>
    </w:p>
    <w:p w14:paraId="4C30F092" w14:textId="0C89F96B" w:rsidR="00E42530" w:rsidRPr="005E778D" w:rsidRDefault="00E42530" w:rsidP="00BB33B7">
      <w:pPr>
        <w:jc w:val="center"/>
        <w:rPr>
          <w:rFonts w:ascii="Times New Roman" w:hAnsi="Times New Roman" w:cs="Times New Roman"/>
          <w:b/>
          <w:bCs/>
          <w:color w:val="009999"/>
          <w:sz w:val="32"/>
          <w:szCs w:val="32"/>
        </w:rPr>
      </w:pPr>
    </w:p>
    <w:p w14:paraId="24323253" w14:textId="3E994893" w:rsidR="00E42530" w:rsidRPr="005E778D" w:rsidRDefault="00E42530" w:rsidP="00BB33B7">
      <w:pPr>
        <w:jc w:val="center"/>
        <w:rPr>
          <w:rFonts w:ascii="Times New Roman" w:hAnsi="Times New Roman" w:cs="Times New Roman"/>
          <w:b/>
          <w:bCs/>
          <w:color w:val="009999"/>
          <w:sz w:val="28"/>
          <w:szCs w:val="28"/>
        </w:rPr>
      </w:pPr>
      <w:r w:rsidRPr="005E778D">
        <w:rPr>
          <w:rFonts w:ascii="Times New Roman" w:hAnsi="Times New Roman" w:cs="Times New Roman"/>
          <w:b/>
          <w:bCs/>
          <w:color w:val="009999"/>
          <w:sz w:val="28"/>
          <w:szCs w:val="28"/>
        </w:rPr>
        <w:t>Повідомлення про результати тестування на антимікробну чутливість</w:t>
      </w:r>
    </w:p>
    <w:p w14:paraId="19820E44" w14:textId="2D69F888" w:rsidR="00E42530" w:rsidRPr="005E778D" w:rsidRDefault="00E42530" w:rsidP="00BB33B7">
      <w:pPr>
        <w:jc w:val="center"/>
        <w:rPr>
          <w:rFonts w:ascii="Times New Roman" w:hAnsi="Times New Roman" w:cs="Times New Roman"/>
          <w:b/>
          <w:bCs/>
          <w:color w:val="009999"/>
          <w:sz w:val="32"/>
          <w:szCs w:val="32"/>
        </w:rPr>
      </w:pPr>
    </w:p>
    <w:p w14:paraId="55704B3A" w14:textId="499F5187" w:rsidR="00E42530" w:rsidRDefault="005E778D" w:rsidP="00BB33B7">
      <w:pPr>
        <w:jc w:val="center"/>
        <w:rPr>
          <w:rFonts w:ascii="Times New Roman" w:hAnsi="Times New Roman" w:cs="Times New Roman"/>
          <w:b/>
          <w:bCs/>
          <w:color w:val="009999"/>
          <w:sz w:val="32"/>
          <w:szCs w:val="32"/>
          <w:lang w:val="uk-UA"/>
        </w:rPr>
      </w:pPr>
      <w:r w:rsidRPr="005E778D">
        <w:rPr>
          <w:rFonts w:ascii="Times New Roman" w:hAnsi="Times New Roman" w:cs="Times New Roman"/>
          <w:b/>
          <w:bCs/>
          <w:color w:val="009999"/>
          <w:sz w:val="32"/>
          <w:szCs w:val="32"/>
          <w:lang w:val="uk-UA"/>
        </w:rPr>
        <w:t>Листопад</w:t>
      </w:r>
      <w:r w:rsidR="00E42530" w:rsidRPr="005E778D">
        <w:rPr>
          <w:rFonts w:ascii="Times New Roman" w:hAnsi="Times New Roman" w:cs="Times New Roman"/>
          <w:b/>
          <w:bCs/>
          <w:color w:val="009999"/>
          <w:sz w:val="32"/>
          <w:szCs w:val="32"/>
          <w:lang w:val="uk-UA"/>
        </w:rPr>
        <w:t xml:space="preserve"> 202</w:t>
      </w:r>
      <w:r w:rsidRPr="005E778D">
        <w:rPr>
          <w:rFonts w:ascii="Times New Roman" w:hAnsi="Times New Roman" w:cs="Times New Roman"/>
          <w:b/>
          <w:bCs/>
          <w:color w:val="009999"/>
          <w:sz w:val="32"/>
          <w:szCs w:val="32"/>
          <w:lang w:val="uk-UA"/>
        </w:rPr>
        <w:t>5</w:t>
      </w:r>
    </w:p>
    <w:p w14:paraId="000792BF" w14:textId="3F23E046" w:rsidR="005E778D" w:rsidRPr="005E778D" w:rsidRDefault="005E778D" w:rsidP="00BB33B7">
      <w:pPr>
        <w:jc w:val="center"/>
        <w:rPr>
          <w:rFonts w:ascii="Times New Roman" w:hAnsi="Times New Roman" w:cs="Times New Roman"/>
          <w:color w:val="009999"/>
          <w:lang w:val="uk-UA"/>
        </w:rPr>
      </w:pPr>
      <w:r w:rsidRPr="005E778D">
        <w:rPr>
          <w:rFonts w:ascii="Times New Roman" w:hAnsi="Times New Roman" w:cs="Times New Roman"/>
          <w:color w:val="009999"/>
          <w:lang w:val="uk-UA"/>
        </w:rPr>
        <w:t>[незначна редакція, що додає критерії скринінгу для бензилпеніциліну]</w:t>
      </w:r>
    </w:p>
    <w:p w14:paraId="3303BF4E" w14:textId="31CEEFE0" w:rsidR="00E42530" w:rsidRPr="005E5B83" w:rsidRDefault="00E42530" w:rsidP="00BB33B7">
      <w:pPr>
        <w:jc w:val="center"/>
        <w:rPr>
          <w:rFonts w:ascii="Times New Roman" w:hAnsi="Times New Roman" w:cs="Times New Roman"/>
          <w:b/>
          <w:bCs/>
        </w:rPr>
      </w:pPr>
    </w:p>
    <w:p w14:paraId="3300804E" w14:textId="03C90086" w:rsidR="00E42530" w:rsidRPr="00BB33B7" w:rsidRDefault="00E42530" w:rsidP="00BB33B7">
      <w:pPr>
        <w:ind w:firstLine="567"/>
        <w:jc w:val="both"/>
        <w:rPr>
          <w:rFonts w:ascii="Times New Roman" w:hAnsi="Times New Roman" w:cs="Times New Roman"/>
          <w:b/>
          <w:bCs/>
          <w:lang w:val="uk-UA"/>
        </w:rPr>
      </w:pPr>
      <w:r w:rsidRPr="00BB33B7">
        <w:rPr>
          <w:rFonts w:ascii="Times New Roman" w:hAnsi="Times New Roman" w:cs="Times New Roman"/>
          <w:b/>
          <w:bCs/>
          <w:lang w:val="uk-UA"/>
        </w:rPr>
        <w:t>Передумови</w:t>
      </w:r>
    </w:p>
    <w:p w14:paraId="3546F8B8" w14:textId="25FD5827" w:rsidR="00E42530" w:rsidRDefault="00E42530"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Інфекційний ендокардит є важким станом, що вимагає стандартизованого та міждисциплінарного підходу як для діагностики, так і для лікування. Правильне цільове лікування має вирішальне значення для зниження смертності та захворюваності. Історично склалося так, що міжнародні та місцеві рекомендації включали граничні значення МІК для інформування про вибір антибіотиків і дозування – ці граничні значення були погано задокументовані та методологічно складні, часто розділяючи навпіл або ігноруючи популяцію дикого типу. У 2023 році Європейське товариство кардіологів (ESC) опублікувало оновлені рекомендації щодо лікування ендокардиту (1). </w:t>
      </w:r>
      <w:r w:rsidR="005E5B83" w:rsidRPr="005E5B83">
        <w:rPr>
          <w:rFonts w:ascii="Times New Roman" w:hAnsi="Times New Roman" w:cs="Times New Roman"/>
          <w:lang w:val="uk-UA"/>
        </w:rPr>
        <w:t xml:space="preserve">Тут схеми лікування антибіотиками, що базуються на MIC, замінюються рекомендаціями, що базуються на категоризації </w:t>
      </w:r>
      <w:r w:rsidR="005E5B83">
        <w:rPr>
          <w:rFonts w:ascii="Times New Roman" w:hAnsi="Times New Roman" w:cs="Times New Roman"/>
          <w:lang w:val="uk-UA"/>
        </w:rPr>
        <w:t>Ч</w:t>
      </w:r>
      <w:r w:rsidR="005E5B83" w:rsidRPr="005E5B83">
        <w:rPr>
          <w:rFonts w:ascii="Times New Roman" w:hAnsi="Times New Roman" w:cs="Times New Roman"/>
          <w:lang w:val="uk-UA"/>
        </w:rPr>
        <w:t>-</w:t>
      </w:r>
      <w:r w:rsidR="005E5B83">
        <w:rPr>
          <w:rFonts w:ascii="Times New Roman" w:hAnsi="Times New Roman" w:cs="Times New Roman"/>
          <w:lang w:val="uk-UA"/>
        </w:rPr>
        <w:t>П</w:t>
      </w:r>
      <w:r w:rsidR="005E5B83" w:rsidRPr="005E5B83">
        <w:rPr>
          <w:rFonts w:ascii="Times New Roman" w:hAnsi="Times New Roman" w:cs="Times New Roman"/>
          <w:lang w:val="uk-UA"/>
        </w:rPr>
        <w:t>-</w:t>
      </w:r>
      <w:r w:rsidR="005E5B83">
        <w:rPr>
          <w:rFonts w:ascii="Times New Roman" w:hAnsi="Times New Roman" w:cs="Times New Roman"/>
          <w:lang w:val="uk-UA"/>
        </w:rPr>
        <w:t>С</w:t>
      </w:r>
      <w:r w:rsidR="005E5B83" w:rsidRPr="005E5B83">
        <w:rPr>
          <w:rFonts w:ascii="Times New Roman" w:hAnsi="Times New Roman" w:cs="Times New Roman"/>
          <w:lang w:val="uk-UA"/>
        </w:rPr>
        <w:t>, отриманій за допомогою методології EUCAST та клінічних граничних значень.</w:t>
      </w:r>
    </w:p>
    <w:p w14:paraId="032B8E96" w14:textId="163C743A" w:rsidR="005E5B83" w:rsidRPr="00BB33B7" w:rsidRDefault="005E5B83" w:rsidP="00BB33B7">
      <w:pPr>
        <w:ind w:firstLine="567"/>
        <w:jc w:val="both"/>
        <w:rPr>
          <w:rFonts w:ascii="Times New Roman" w:hAnsi="Times New Roman" w:cs="Times New Roman"/>
          <w:lang w:val="uk-UA"/>
        </w:rPr>
      </w:pPr>
      <w:r w:rsidRPr="005E5B83">
        <w:rPr>
          <w:rFonts w:ascii="Times New Roman" w:hAnsi="Times New Roman" w:cs="Times New Roman"/>
          <w:lang w:val="uk-UA"/>
        </w:rPr>
        <w:t>Мета цього документа — надати рекомендації та довідкову інформацію щодо граничних значень EUCAST та рекомендованого тестування ізолятів</w:t>
      </w:r>
      <w:r>
        <w:rPr>
          <w:rFonts w:ascii="Times New Roman" w:hAnsi="Times New Roman" w:cs="Times New Roman"/>
          <w:lang w:val="uk-UA"/>
        </w:rPr>
        <w:t xml:space="preserve">, виділених при </w:t>
      </w:r>
      <w:r w:rsidRPr="005E5B83">
        <w:rPr>
          <w:rFonts w:ascii="Times New Roman" w:hAnsi="Times New Roman" w:cs="Times New Roman"/>
          <w:lang w:val="uk-UA"/>
        </w:rPr>
        <w:t>ендокардит</w:t>
      </w:r>
      <w:r>
        <w:rPr>
          <w:rFonts w:ascii="Times New Roman" w:hAnsi="Times New Roman" w:cs="Times New Roman"/>
          <w:lang w:val="uk-UA"/>
        </w:rPr>
        <w:t>ах</w:t>
      </w:r>
      <w:r w:rsidRPr="005E5B83">
        <w:rPr>
          <w:rFonts w:ascii="Times New Roman" w:hAnsi="Times New Roman" w:cs="Times New Roman"/>
          <w:lang w:val="uk-UA"/>
        </w:rPr>
        <w:t>. Клінічні рекомендації щодо лікування, включаючи рекомендовані режими дозування, наведені в рекомендаціях ESC або національних рекомендаціях.</w:t>
      </w:r>
    </w:p>
    <w:p w14:paraId="7EC07026" w14:textId="423364AB" w:rsidR="00E42530" w:rsidRPr="00BB33B7" w:rsidRDefault="00E42530"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Антимікробне лікування ендокардиту вимагає використання високих доз протягом тривалого періоду для забезпечення відповідного антимікробного впливу. </w:t>
      </w:r>
      <w:r w:rsidR="005E5B83" w:rsidRPr="005E5B83">
        <w:rPr>
          <w:rFonts w:ascii="Times New Roman" w:hAnsi="Times New Roman" w:cs="Times New Roman"/>
          <w:lang w:val="uk-UA"/>
        </w:rPr>
        <w:t xml:space="preserve">Через знижене проникнення антимікробних препаратів у вегетації, дози, що використовуються при ендокардиті, часто вищі за стандартні </w:t>
      </w:r>
      <w:r w:rsidR="005E5B83">
        <w:rPr>
          <w:rFonts w:ascii="Times New Roman" w:hAnsi="Times New Roman" w:cs="Times New Roman"/>
          <w:lang w:val="uk-UA"/>
        </w:rPr>
        <w:t xml:space="preserve">дози </w:t>
      </w:r>
      <w:r w:rsidR="005E5B83" w:rsidRPr="005E5B83">
        <w:rPr>
          <w:rFonts w:ascii="Times New Roman" w:hAnsi="Times New Roman" w:cs="Times New Roman"/>
          <w:lang w:val="uk-UA"/>
        </w:rPr>
        <w:t>EUCAST та високі дози, і ці дози не базуються на фармакокінетиці/фармакодинаміці (PK/PD)</w:t>
      </w:r>
      <w:r w:rsidRPr="00BB33B7">
        <w:rPr>
          <w:rFonts w:ascii="Times New Roman" w:hAnsi="Times New Roman" w:cs="Times New Roman"/>
          <w:lang w:val="uk-UA"/>
        </w:rPr>
        <w:t xml:space="preserve">. </w:t>
      </w:r>
      <w:r w:rsidR="00F2106F" w:rsidRPr="00F2106F">
        <w:rPr>
          <w:rFonts w:ascii="Times New Roman" w:hAnsi="Times New Roman" w:cs="Times New Roman"/>
          <w:lang w:val="uk-UA"/>
        </w:rPr>
        <w:t>Тому концепцію стандартних доз (</w:t>
      </w:r>
      <w:r w:rsidR="00F2106F">
        <w:rPr>
          <w:rFonts w:ascii="Times New Roman" w:hAnsi="Times New Roman" w:cs="Times New Roman"/>
          <w:lang w:val="uk-UA"/>
        </w:rPr>
        <w:t>Ч</w:t>
      </w:r>
      <w:r w:rsidR="00F2106F" w:rsidRPr="00F2106F">
        <w:rPr>
          <w:rFonts w:ascii="Times New Roman" w:hAnsi="Times New Roman" w:cs="Times New Roman"/>
          <w:lang w:val="uk-UA"/>
        </w:rPr>
        <w:t>) та високих доз (</w:t>
      </w:r>
      <w:r w:rsidR="00F2106F">
        <w:rPr>
          <w:rFonts w:ascii="Times New Roman" w:hAnsi="Times New Roman" w:cs="Times New Roman"/>
          <w:lang w:val="uk-UA"/>
        </w:rPr>
        <w:t>П</w:t>
      </w:r>
      <w:r w:rsidR="00F2106F" w:rsidRPr="00F2106F">
        <w:rPr>
          <w:rFonts w:ascii="Times New Roman" w:hAnsi="Times New Roman" w:cs="Times New Roman"/>
          <w:lang w:val="uk-UA"/>
        </w:rPr>
        <w:t xml:space="preserve">) тут не можна застосовувати. Таким чином, граничні значення EUCAST для ендокардиту не включають </w:t>
      </w:r>
      <w:r w:rsidR="00F2106F">
        <w:rPr>
          <w:rFonts w:ascii="Times New Roman" w:hAnsi="Times New Roman" w:cs="Times New Roman"/>
          <w:lang w:val="uk-UA"/>
        </w:rPr>
        <w:t>П</w:t>
      </w:r>
      <w:r w:rsidR="00F2106F" w:rsidRPr="00F2106F">
        <w:rPr>
          <w:rFonts w:ascii="Times New Roman" w:hAnsi="Times New Roman" w:cs="Times New Roman"/>
          <w:lang w:val="uk-UA"/>
        </w:rPr>
        <w:t>-категорію, але передбачають використання доз, рекомендованих у рекомендаціях ESC (1).</w:t>
      </w:r>
    </w:p>
    <w:p w14:paraId="379B62AF" w14:textId="2AD3308E" w:rsidR="00E42530" w:rsidRPr="00BB33B7" w:rsidRDefault="00E42530"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EUCAST переглянув агенти, описані в настановах ESC для стрептококів групи </w:t>
      </w:r>
      <w:r w:rsidRPr="00BB33B7">
        <w:rPr>
          <w:rFonts w:ascii="Times New Roman" w:hAnsi="Times New Roman" w:cs="Times New Roman"/>
          <w:i/>
          <w:iCs/>
          <w:lang w:val="uk-UA"/>
        </w:rPr>
        <w:t>viridans</w:t>
      </w:r>
      <w:r w:rsidRPr="00BB33B7">
        <w:rPr>
          <w:rFonts w:ascii="Times New Roman" w:hAnsi="Times New Roman" w:cs="Times New Roman"/>
          <w:lang w:val="uk-UA"/>
        </w:rPr>
        <w:t xml:space="preserve"> (таблиця 7), інших </w:t>
      </w:r>
      <w:r w:rsidRPr="00BB33B7">
        <w:rPr>
          <w:rFonts w:ascii="Times New Roman" w:hAnsi="Times New Roman" w:cs="Times New Roman"/>
          <w:i/>
          <w:iCs/>
          <w:lang w:val="uk-UA"/>
        </w:rPr>
        <w:t>Streptococcus</w:t>
      </w:r>
      <w:r w:rsidRPr="00BB33B7">
        <w:rPr>
          <w:rFonts w:ascii="Times New Roman" w:hAnsi="Times New Roman" w:cs="Times New Roman"/>
          <w:lang w:val="uk-UA"/>
        </w:rPr>
        <w:t xml:space="preserve"> spp., </w:t>
      </w:r>
      <w:r w:rsidRPr="00BB33B7">
        <w:rPr>
          <w:rFonts w:ascii="Times New Roman" w:hAnsi="Times New Roman" w:cs="Times New Roman"/>
          <w:i/>
          <w:iCs/>
          <w:lang w:val="uk-UA"/>
        </w:rPr>
        <w:t>Staphylococcus</w:t>
      </w:r>
      <w:r w:rsidRPr="00BB33B7">
        <w:rPr>
          <w:rFonts w:ascii="Times New Roman" w:hAnsi="Times New Roman" w:cs="Times New Roman"/>
          <w:lang w:val="uk-UA"/>
        </w:rPr>
        <w:t xml:space="preserve"> spp. (таблиця 8), </w:t>
      </w:r>
      <w:r w:rsidRPr="00BB33B7">
        <w:rPr>
          <w:rFonts w:ascii="Times New Roman" w:hAnsi="Times New Roman" w:cs="Times New Roman"/>
          <w:i/>
          <w:iCs/>
          <w:lang w:val="uk-UA"/>
        </w:rPr>
        <w:t>Enterococcus</w:t>
      </w:r>
      <w:r w:rsidRPr="00BB33B7">
        <w:rPr>
          <w:rFonts w:ascii="Times New Roman" w:hAnsi="Times New Roman" w:cs="Times New Roman"/>
          <w:lang w:val="uk-UA"/>
        </w:rPr>
        <w:t xml:space="preserve"> spp. (таблиця 9), </w:t>
      </w:r>
      <w:r w:rsidRPr="00BB33B7">
        <w:rPr>
          <w:rFonts w:ascii="Times New Roman" w:hAnsi="Times New Roman" w:cs="Times New Roman"/>
          <w:i/>
          <w:iCs/>
          <w:lang w:val="uk-UA"/>
        </w:rPr>
        <w:t>Haemophilus influenzae</w:t>
      </w:r>
      <w:r w:rsidRPr="00BB33B7">
        <w:rPr>
          <w:rFonts w:ascii="Times New Roman" w:hAnsi="Times New Roman" w:cs="Times New Roman"/>
          <w:lang w:val="uk-UA"/>
        </w:rPr>
        <w:t xml:space="preserve"> та </w:t>
      </w:r>
      <w:r w:rsidRPr="00BB33B7">
        <w:rPr>
          <w:rFonts w:ascii="Times New Roman" w:hAnsi="Times New Roman" w:cs="Times New Roman"/>
          <w:i/>
          <w:iCs/>
          <w:lang w:val="uk-UA"/>
        </w:rPr>
        <w:t>Kingella kingae</w:t>
      </w:r>
      <w:r w:rsidRPr="00BB33B7">
        <w:rPr>
          <w:rFonts w:ascii="Times New Roman" w:hAnsi="Times New Roman" w:cs="Times New Roman"/>
          <w:lang w:val="uk-UA"/>
        </w:rPr>
        <w:t xml:space="preserve">, а також засоби, що використовуються для перорального подальшого лікування (таблиця S9) (1). Граничні значення ендокардиту базуються на епідеміологічних граничних значеннях (ECOFF). Одним винятком є ​​граничне значення для бензилпеніциліну в комбінованому лікуванні стрептококів групи </w:t>
      </w:r>
      <w:r w:rsidRPr="00BB33B7">
        <w:rPr>
          <w:rFonts w:ascii="Times New Roman" w:hAnsi="Times New Roman" w:cs="Times New Roman"/>
          <w:i/>
          <w:iCs/>
          <w:lang w:val="uk-UA"/>
        </w:rPr>
        <w:t>viridans</w:t>
      </w:r>
      <w:r w:rsidRPr="00BB33B7">
        <w:rPr>
          <w:rFonts w:ascii="Times New Roman" w:hAnsi="Times New Roman" w:cs="Times New Roman"/>
          <w:lang w:val="uk-UA"/>
        </w:rPr>
        <w:t>, див. нижче. Лише коли граничні значення ендокардиту відрізняються від граничних значень для інших показань, вони включаються в таблицю граничних значень як додатковий рядок.</w:t>
      </w:r>
    </w:p>
    <w:p w14:paraId="72084359" w14:textId="77777777" w:rsidR="00E42530" w:rsidRPr="00BB33B7" w:rsidRDefault="00E42530" w:rsidP="00BB33B7">
      <w:pPr>
        <w:ind w:firstLine="567"/>
        <w:jc w:val="both"/>
        <w:rPr>
          <w:rFonts w:ascii="Times New Roman" w:hAnsi="Times New Roman" w:cs="Times New Roman"/>
          <w:lang w:val="uk-UA"/>
        </w:rPr>
      </w:pPr>
    </w:p>
    <w:p w14:paraId="400F1F5A" w14:textId="77777777" w:rsidR="00E42530" w:rsidRPr="00BB33B7" w:rsidRDefault="00E42530" w:rsidP="00BB33B7">
      <w:pPr>
        <w:ind w:firstLine="567"/>
        <w:jc w:val="both"/>
        <w:rPr>
          <w:rFonts w:ascii="Times New Roman" w:hAnsi="Times New Roman" w:cs="Times New Roman"/>
          <w:b/>
          <w:bCs/>
          <w:lang w:val="uk-UA"/>
        </w:rPr>
      </w:pPr>
      <w:r w:rsidRPr="00BB33B7">
        <w:rPr>
          <w:rFonts w:ascii="Times New Roman" w:hAnsi="Times New Roman" w:cs="Times New Roman"/>
          <w:b/>
          <w:bCs/>
          <w:lang w:val="uk-UA"/>
        </w:rPr>
        <w:t>Загальні рекомендації</w:t>
      </w:r>
    </w:p>
    <w:p w14:paraId="1F329989" w14:textId="7C6BCC29" w:rsidR="00E42530" w:rsidRPr="00BB33B7" w:rsidRDefault="00BB33B7" w:rsidP="00BB33B7">
      <w:pPr>
        <w:ind w:firstLine="567"/>
        <w:jc w:val="both"/>
        <w:rPr>
          <w:rFonts w:ascii="Times New Roman" w:hAnsi="Times New Roman" w:cs="Times New Roman"/>
          <w:lang w:val="uk-UA"/>
        </w:rPr>
      </w:pPr>
      <w:r>
        <w:rPr>
          <w:rFonts w:ascii="Times New Roman" w:hAnsi="Times New Roman" w:cs="Times New Roman"/>
          <w:lang w:val="uk-UA"/>
        </w:rPr>
        <w:t xml:space="preserve">Визначення </w:t>
      </w:r>
      <w:r w:rsidR="00E42530" w:rsidRPr="00BB33B7">
        <w:rPr>
          <w:rFonts w:ascii="Times New Roman" w:hAnsi="Times New Roman" w:cs="Times New Roman"/>
          <w:lang w:val="uk-UA"/>
        </w:rPr>
        <w:t>чутлив</w:t>
      </w:r>
      <w:r>
        <w:rPr>
          <w:rFonts w:ascii="Times New Roman" w:hAnsi="Times New Roman" w:cs="Times New Roman"/>
          <w:lang w:val="uk-UA"/>
        </w:rPr>
        <w:t>ості</w:t>
      </w:r>
      <w:r w:rsidR="00E42530" w:rsidRPr="00BB33B7">
        <w:rPr>
          <w:rFonts w:ascii="Times New Roman" w:hAnsi="Times New Roman" w:cs="Times New Roman"/>
          <w:lang w:val="uk-UA"/>
        </w:rPr>
        <w:t xml:space="preserve"> до антимікробних препаратів можна виконати за допомогою диско дифузі</w:t>
      </w:r>
      <w:r w:rsidR="00FC4298" w:rsidRPr="00BB33B7">
        <w:rPr>
          <w:rFonts w:ascii="Times New Roman" w:hAnsi="Times New Roman" w:cs="Times New Roman"/>
          <w:lang w:val="uk-UA"/>
        </w:rPr>
        <w:t>йного методу</w:t>
      </w:r>
      <w:r w:rsidR="00E42530" w:rsidRPr="00BB33B7">
        <w:rPr>
          <w:rFonts w:ascii="Times New Roman" w:hAnsi="Times New Roman" w:cs="Times New Roman"/>
          <w:lang w:val="uk-UA"/>
        </w:rPr>
        <w:t xml:space="preserve"> або методу MI</w:t>
      </w:r>
      <w:r w:rsidR="00FC4298" w:rsidRPr="00BB33B7">
        <w:rPr>
          <w:rFonts w:ascii="Times New Roman" w:hAnsi="Times New Roman" w:cs="Times New Roman"/>
          <w:lang w:val="uk-UA"/>
        </w:rPr>
        <w:t>К</w:t>
      </w:r>
      <w:r w:rsidR="00E42530" w:rsidRPr="00BB33B7">
        <w:rPr>
          <w:rFonts w:ascii="Times New Roman" w:hAnsi="Times New Roman" w:cs="Times New Roman"/>
          <w:lang w:val="uk-UA"/>
        </w:rPr>
        <w:t xml:space="preserve">, як описано в таблицях </w:t>
      </w:r>
      <w:r w:rsidR="00FC4298" w:rsidRPr="00BB33B7">
        <w:rPr>
          <w:rFonts w:ascii="Times New Roman" w:hAnsi="Times New Roman" w:cs="Times New Roman"/>
          <w:lang w:val="uk-UA"/>
        </w:rPr>
        <w:t>граничних значень</w:t>
      </w:r>
      <w:r w:rsidR="00E42530" w:rsidRPr="00BB33B7">
        <w:rPr>
          <w:rFonts w:ascii="Times New Roman" w:hAnsi="Times New Roman" w:cs="Times New Roman"/>
          <w:lang w:val="uk-UA"/>
        </w:rPr>
        <w:t>. Однак повідомляти про МІК у разі ендокардиту не потрібно.</w:t>
      </w:r>
    </w:p>
    <w:p w14:paraId="17480D2F" w14:textId="539ABB2E" w:rsidR="00E42530" w:rsidRPr="00BB33B7" w:rsidRDefault="00E42530"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Якщо цефтриаксон використовується в комбінації з амінопеніцилінами для лікування ендокардиту, викликаного </w:t>
      </w:r>
      <w:r w:rsidRPr="00BB33B7">
        <w:rPr>
          <w:rFonts w:ascii="Times New Roman" w:hAnsi="Times New Roman" w:cs="Times New Roman"/>
          <w:i/>
          <w:iCs/>
          <w:lang w:val="uk-UA"/>
        </w:rPr>
        <w:t>Enterococcus</w:t>
      </w:r>
      <w:r w:rsidRPr="00BB33B7">
        <w:rPr>
          <w:rFonts w:ascii="Times New Roman" w:hAnsi="Times New Roman" w:cs="Times New Roman"/>
          <w:lang w:val="uk-UA"/>
        </w:rPr>
        <w:t xml:space="preserve"> spp., EUCAST не рекомендує тестування на цефтріаксон, оскільки очікуваний фенотип є стійким і не передбачає клінічного результату. Метод, який би передбачав клінічну корисність комбінації, недоступний.</w:t>
      </w:r>
    </w:p>
    <w:p w14:paraId="720BBC02" w14:textId="473892EF" w:rsidR="00FC4298" w:rsidRPr="00BB33B7" w:rsidRDefault="00FC4298" w:rsidP="00BB33B7">
      <w:pPr>
        <w:ind w:firstLine="567"/>
        <w:jc w:val="both"/>
        <w:rPr>
          <w:rFonts w:ascii="Times New Roman" w:hAnsi="Times New Roman" w:cs="Times New Roman"/>
          <w:lang w:val="uk-UA"/>
        </w:rPr>
      </w:pPr>
    </w:p>
    <w:p w14:paraId="426ED1A8" w14:textId="77777777" w:rsidR="00BB33B7" w:rsidRDefault="00BB33B7" w:rsidP="00BB33B7">
      <w:pPr>
        <w:ind w:firstLine="567"/>
        <w:jc w:val="both"/>
        <w:rPr>
          <w:rFonts w:ascii="Times New Roman" w:hAnsi="Times New Roman" w:cs="Times New Roman"/>
          <w:b/>
          <w:bCs/>
          <w:lang w:val="uk-UA"/>
        </w:rPr>
      </w:pPr>
    </w:p>
    <w:p w14:paraId="6069BE8D" w14:textId="29118C06" w:rsidR="00FC4298" w:rsidRPr="00BB33B7" w:rsidRDefault="00FC4298" w:rsidP="00BB33B7">
      <w:pPr>
        <w:ind w:firstLine="567"/>
        <w:jc w:val="both"/>
        <w:rPr>
          <w:rFonts w:ascii="Times New Roman" w:hAnsi="Times New Roman" w:cs="Times New Roman"/>
          <w:b/>
          <w:bCs/>
          <w:lang w:val="uk-UA"/>
        </w:rPr>
      </w:pPr>
      <w:r w:rsidRPr="00BB33B7">
        <w:rPr>
          <w:rFonts w:ascii="Times New Roman" w:hAnsi="Times New Roman" w:cs="Times New Roman"/>
          <w:b/>
          <w:bCs/>
          <w:lang w:val="uk-UA"/>
        </w:rPr>
        <w:lastRenderedPageBreak/>
        <w:t>Пероральне подальше лікування</w:t>
      </w:r>
    </w:p>
    <w:p w14:paraId="10204215" w14:textId="59CEF1DC" w:rsidR="00FC4298" w:rsidRPr="00BB33B7" w:rsidRDefault="00FC4298"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Для пероральних протимікробних препаратів, які використовуються в подальшому лікуванні ендокардиту, де клінічні граничні значенні не вказані (наприклад, моксифлоксацин для </w:t>
      </w:r>
      <w:r w:rsidRPr="00BB33B7">
        <w:rPr>
          <w:rFonts w:ascii="Times New Roman" w:hAnsi="Times New Roman" w:cs="Times New Roman"/>
          <w:i/>
          <w:iCs/>
          <w:lang w:val="uk-UA"/>
        </w:rPr>
        <w:t>Enterococcus</w:t>
      </w:r>
      <w:r w:rsidRPr="00BB33B7">
        <w:rPr>
          <w:rFonts w:ascii="Times New Roman" w:hAnsi="Times New Roman" w:cs="Times New Roman"/>
          <w:lang w:val="uk-UA"/>
        </w:rPr>
        <w:t xml:space="preserve"> spp. та моксифлоксацин і рифампіцин для стрептококів групи </w:t>
      </w:r>
      <w:r w:rsidRPr="00BB33B7">
        <w:rPr>
          <w:rFonts w:ascii="Times New Roman" w:hAnsi="Times New Roman" w:cs="Times New Roman"/>
          <w:i/>
          <w:iCs/>
          <w:lang w:val="uk-UA"/>
        </w:rPr>
        <w:t>viridans</w:t>
      </w:r>
      <w:r w:rsidRPr="00BB33B7">
        <w:rPr>
          <w:rFonts w:ascii="Times New Roman" w:hAnsi="Times New Roman" w:cs="Times New Roman"/>
          <w:lang w:val="uk-UA"/>
        </w:rPr>
        <w:t>), слід виключити набуту резистентність за допомогою ECOFF. Ізоляти не слід повідомляти як чутливі, а як такі, що «позбавлені» або «володіють» механізмами резистентності. Це пояснюється у відповідній примітці до таблиць граничних значень.</w:t>
      </w:r>
    </w:p>
    <w:p w14:paraId="4093EC35" w14:textId="3FC25C05" w:rsidR="00FC4298" w:rsidRPr="00BB33B7" w:rsidRDefault="00FC4298"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EUCAST не включив примітки щодо рифампіцину та </w:t>
      </w:r>
      <w:r w:rsidRPr="00BB33B7">
        <w:rPr>
          <w:rFonts w:ascii="Times New Roman" w:hAnsi="Times New Roman" w:cs="Times New Roman"/>
          <w:i/>
          <w:iCs/>
          <w:lang w:val="uk-UA"/>
        </w:rPr>
        <w:t>Enterococcus</w:t>
      </w:r>
      <w:r w:rsidRPr="00BB33B7">
        <w:rPr>
          <w:rFonts w:ascii="Times New Roman" w:hAnsi="Times New Roman" w:cs="Times New Roman"/>
          <w:lang w:val="uk-UA"/>
        </w:rPr>
        <w:t xml:space="preserve"> spp. через високий ECOFF для </w:t>
      </w:r>
      <w:r w:rsidRPr="00BB33B7">
        <w:rPr>
          <w:rFonts w:ascii="Times New Roman" w:hAnsi="Times New Roman" w:cs="Times New Roman"/>
          <w:i/>
          <w:iCs/>
          <w:lang w:val="uk-UA"/>
        </w:rPr>
        <w:t>E. faecalis</w:t>
      </w:r>
      <w:r w:rsidRPr="00BB33B7">
        <w:rPr>
          <w:rFonts w:ascii="Times New Roman" w:hAnsi="Times New Roman" w:cs="Times New Roman"/>
          <w:lang w:val="uk-UA"/>
        </w:rPr>
        <w:t xml:space="preserve"> (8 мг/л) і відсутність клінічних доказів ефективності.</w:t>
      </w:r>
    </w:p>
    <w:p w14:paraId="1E5113F8" w14:textId="77777777" w:rsidR="00FC4298" w:rsidRPr="00F2106F" w:rsidRDefault="00FC4298" w:rsidP="00BB33B7">
      <w:pPr>
        <w:ind w:firstLine="567"/>
        <w:jc w:val="both"/>
        <w:rPr>
          <w:rFonts w:ascii="Times New Roman" w:hAnsi="Times New Roman" w:cs="Times New Roman"/>
          <w:sz w:val="16"/>
          <w:szCs w:val="16"/>
          <w:lang w:val="uk-UA"/>
        </w:rPr>
      </w:pPr>
    </w:p>
    <w:p w14:paraId="05D97929" w14:textId="77777777" w:rsidR="00FC4298" w:rsidRPr="00BB33B7" w:rsidRDefault="00FC4298" w:rsidP="00BB33B7">
      <w:pPr>
        <w:ind w:firstLine="567"/>
        <w:jc w:val="both"/>
        <w:rPr>
          <w:rFonts w:ascii="Times New Roman" w:hAnsi="Times New Roman" w:cs="Times New Roman"/>
          <w:b/>
          <w:bCs/>
          <w:lang w:val="uk-UA"/>
        </w:rPr>
      </w:pPr>
      <w:r w:rsidRPr="00BB33B7">
        <w:rPr>
          <w:rFonts w:ascii="Times New Roman" w:hAnsi="Times New Roman" w:cs="Times New Roman"/>
          <w:b/>
          <w:bCs/>
          <w:lang w:val="uk-UA"/>
        </w:rPr>
        <w:t xml:space="preserve">Стрептококи групи </w:t>
      </w:r>
      <w:r w:rsidRPr="00BB33B7">
        <w:rPr>
          <w:rFonts w:ascii="Times New Roman" w:hAnsi="Times New Roman" w:cs="Times New Roman"/>
          <w:b/>
          <w:bCs/>
          <w:i/>
          <w:iCs/>
          <w:lang w:val="uk-UA"/>
        </w:rPr>
        <w:t>Viridans</w:t>
      </w:r>
    </w:p>
    <w:p w14:paraId="0309CD73" w14:textId="674C7CEA" w:rsidR="00FC4298" w:rsidRPr="00BB33B7" w:rsidRDefault="00FC4298" w:rsidP="00BB33B7">
      <w:pPr>
        <w:ind w:firstLine="567"/>
        <w:jc w:val="both"/>
        <w:rPr>
          <w:rFonts w:ascii="Times New Roman" w:hAnsi="Times New Roman" w:cs="Times New Roman"/>
          <w:lang w:val="uk-UA"/>
        </w:rPr>
      </w:pPr>
      <w:r w:rsidRPr="00BB33B7">
        <w:rPr>
          <w:rFonts w:ascii="Times New Roman" w:hAnsi="Times New Roman" w:cs="Times New Roman"/>
          <w:lang w:val="uk-UA"/>
        </w:rPr>
        <w:t>Бензилпеніциліновий диск 1 одиниця можна використовувати для скринінгу резистентності до β-лактамів. Можна повідомити про скринінг-негативні ізоляти, чутливі до таких відповідних β-лактамів: бензилпеніциліну, ампіциліну, амоксициліну, цефотаксиму, цефтриаксону та карбапенемів. Для скринінг-позитивних ізолятів засіб, призначений для лікування, слід піддати тестуванню на антимікробну чутливість.</w:t>
      </w:r>
    </w:p>
    <w:p w14:paraId="2A1B670E" w14:textId="029D67E2" w:rsidR="00FC4298" w:rsidRPr="00BB33B7" w:rsidRDefault="00FC4298"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Рекомендації ESC та кілька національних рекомендацій рекомендують використовувати бензилпеніцилін/амоксицилін/цефтріаксон у комбінації з гентаміцином для ізолятів, які за попередніми граничними значекннями (таблиці гракничних значень EUCAST до 2024 року) були класифіковані як чутливі до бензилпеніциліну, підвищена експозиція. Клінічні докази цієї рекомендації слабкі та базуються на менших ретроспективних дослідженнях (2). Французьке ретроспективне дослідження, яке включало 414 випадків стрептококового ендокардиту, продемонструвало вищу смертність у пацієнтів із стрептококовим ендокардитом групи </w:t>
      </w:r>
      <w:r w:rsidRPr="00BB33B7">
        <w:rPr>
          <w:rFonts w:ascii="Times New Roman" w:hAnsi="Times New Roman" w:cs="Times New Roman"/>
          <w:i/>
          <w:iCs/>
          <w:lang w:val="uk-UA"/>
        </w:rPr>
        <w:t>viridans</w:t>
      </w:r>
      <w:r w:rsidRPr="00BB33B7">
        <w:rPr>
          <w:rFonts w:ascii="Times New Roman" w:hAnsi="Times New Roman" w:cs="Times New Roman"/>
          <w:lang w:val="uk-UA"/>
        </w:rPr>
        <w:t xml:space="preserve"> із МІК амоксициліну від 0,25 до 2 мг/л порівняно з МІК ≤0,125 мг/л (3). Результат не покращувався при поєднанні амоксициліну з аміноглікозидом. Велике іспанське ретроспективне дослідження з 914 випадками стрептококового ендокардиту групи </w:t>
      </w:r>
      <w:r w:rsidRPr="00BB33B7">
        <w:rPr>
          <w:rFonts w:ascii="Times New Roman" w:hAnsi="Times New Roman" w:cs="Times New Roman"/>
          <w:i/>
          <w:iCs/>
          <w:lang w:val="uk-UA"/>
        </w:rPr>
        <w:t>viridans</w:t>
      </w:r>
      <w:r w:rsidRPr="00BB33B7">
        <w:rPr>
          <w:rFonts w:ascii="Times New Roman" w:hAnsi="Times New Roman" w:cs="Times New Roman"/>
          <w:lang w:val="uk-UA"/>
        </w:rPr>
        <w:t xml:space="preserve"> порівнювало результати у пацієнтів із чутливими до бензилпеніциліну стрептококами (n=688, PEN S з МІК ≤0,125 мг/л) і чутливими стрептококами, підвищеною експозицією (n=226, PEN-I). (4). Лише 48 пацієнтів (21,2%) у групі PEN-I отримували бензилпеніцилін у комбінації з аміноглікозидом, тоді як 72 (31,9%) отримували монотерапію цефалоспорином і 67 (29,6%) цефалоспорин у комбінації з аміноглікозидом. Не було суттєвої різниці в смертності чи рецидивах у двох групах, однак результат не оцінювався щодо МІК бензилпеніциліну.</w:t>
      </w:r>
    </w:p>
    <w:p w14:paraId="5EF74A14" w14:textId="77777777" w:rsidR="005E5B83" w:rsidRDefault="00FC4298"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EUCAST визнає, що докази для лікування бензилпеніциліном стрептококів групи </w:t>
      </w:r>
      <w:r w:rsidRPr="00BB33B7">
        <w:rPr>
          <w:rFonts w:ascii="Times New Roman" w:hAnsi="Times New Roman" w:cs="Times New Roman"/>
          <w:i/>
          <w:iCs/>
          <w:lang w:val="uk-UA"/>
        </w:rPr>
        <w:t>viridans</w:t>
      </w:r>
      <w:r w:rsidRPr="00BB33B7">
        <w:rPr>
          <w:rFonts w:ascii="Times New Roman" w:hAnsi="Times New Roman" w:cs="Times New Roman"/>
          <w:lang w:val="uk-UA"/>
        </w:rPr>
        <w:t xml:space="preserve"> з MIК бензилпеніциліну 0,5-1 мг/л </w:t>
      </w:r>
      <w:r w:rsidR="005E5B83">
        <w:rPr>
          <w:rFonts w:ascii="Times New Roman" w:hAnsi="Times New Roman" w:cs="Times New Roman"/>
          <w:lang w:val="uk-UA"/>
        </w:rPr>
        <w:t xml:space="preserve">(зона затримки 12-20 мм) </w:t>
      </w:r>
      <w:r w:rsidRPr="00BB33B7">
        <w:rPr>
          <w:rFonts w:ascii="Times New Roman" w:hAnsi="Times New Roman" w:cs="Times New Roman"/>
          <w:lang w:val="uk-UA"/>
        </w:rPr>
        <w:t xml:space="preserve">не є чіткими. Таким чином, ці ізоляти не слід позначати як чутливі, а радше з коментарем, що бензилпеніцилін, коли він використовується для таких ізолятів, слід поєднувати з іншою активною терапією. У таблиці </w:t>
      </w:r>
      <w:r w:rsidR="005E5B83">
        <w:rPr>
          <w:rFonts w:ascii="Times New Roman" w:hAnsi="Times New Roman" w:cs="Times New Roman"/>
          <w:lang w:val="uk-UA"/>
        </w:rPr>
        <w:t>граничних значень</w:t>
      </w:r>
      <w:r w:rsidRPr="00BB33B7">
        <w:rPr>
          <w:rFonts w:ascii="Times New Roman" w:hAnsi="Times New Roman" w:cs="Times New Roman"/>
          <w:lang w:val="uk-UA"/>
        </w:rPr>
        <w:t xml:space="preserve"> це відображається як додатковий рядок для «Бензилпеніцилін (ендокардит, у поєднанні з іншим антимікробним лікуванням)» з </w:t>
      </w:r>
      <w:r w:rsidR="005E5B83">
        <w:rPr>
          <w:rFonts w:ascii="Times New Roman" w:hAnsi="Times New Roman" w:cs="Times New Roman"/>
          <w:lang w:val="uk-UA"/>
        </w:rPr>
        <w:t>граничними значеннями</w:t>
      </w:r>
      <w:r w:rsidRPr="00BB33B7">
        <w:rPr>
          <w:rFonts w:ascii="Times New Roman" w:hAnsi="Times New Roman" w:cs="Times New Roman"/>
          <w:lang w:val="uk-UA"/>
        </w:rPr>
        <w:t xml:space="preserve"> в дужках. </w:t>
      </w:r>
    </w:p>
    <w:p w14:paraId="784D595B" w14:textId="09010ADE" w:rsidR="00FC4298" w:rsidRPr="00BB33B7" w:rsidRDefault="00FC4298" w:rsidP="00BB33B7">
      <w:pPr>
        <w:ind w:firstLine="567"/>
        <w:jc w:val="both"/>
        <w:rPr>
          <w:rFonts w:ascii="Times New Roman" w:hAnsi="Times New Roman" w:cs="Times New Roman"/>
          <w:lang w:val="uk-UA"/>
        </w:rPr>
      </w:pPr>
      <w:r w:rsidRPr="00BB33B7">
        <w:rPr>
          <w:rFonts w:ascii="Times New Roman" w:hAnsi="Times New Roman" w:cs="Times New Roman"/>
          <w:lang w:val="uk-UA"/>
        </w:rPr>
        <w:t xml:space="preserve">Ізоляти із зоною </w:t>
      </w:r>
      <w:r w:rsidR="005E5B83">
        <w:rPr>
          <w:rFonts w:ascii="Times New Roman" w:hAnsi="Times New Roman" w:cs="Times New Roman"/>
          <w:lang w:val="uk-UA"/>
        </w:rPr>
        <w:t xml:space="preserve">затримки </w:t>
      </w:r>
      <w:r w:rsidR="005E5B83" w:rsidRPr="00BB33B7">
        <w:rPr>
          <w:rFonts w:ascii="Times New Roman" w:hAnsi="Times New Roman" w:cs="Times New Roman"/>
          <w:lang w:val="uk-UA"/>
        </w:rPr>
        <w:t>бензилпеніциліну &lt;12 мм</w:t>
      </w:r>
      <w:r w:rsidR="005E5B83">
        <w:rPr>
          <w:rFonts w:ascii="Times New Roman" w:hAnsi="Times New Roman" w:cs="Times New Roman"/>
          <w:lang w:val="uk-UA"/>
        </w:rPr>
        <w:t xml:space="preserve"> у</w:t>
      </w:r>
      <w:r w:rsidRPr="00BB33B7">
        <w:rPr>
          <w:rFonts w:ascii="Times New Roman" w:hAnsi="Times New Roman" w:cs="Times New Roman"/>
          <w:lang w:val="uk-UA"/>
        </w:rPr>
        <w:t xml:space="preserve"> диско</w:t>
      </w:r>
      <w:r w:rsidR="005E5B83">
        <w:rPr>
          <w:rFonts w:ascii="Times New Roman" w:hAnsi="Times New Roman" w:cs="Times New Roman"/>
          <w:lang w:val="uk-UA"/>
        </w:rPr>
        <w:t>-</w:t>
      </w:r>
      <w:r w:rsidRPr="00BB33B7">
        <w:rPr>
          <w:rFonts w:ascii="Times New Roman" w:hAnsi="Times New Roman" w:cs="Times New Roman"/>
          <w:lang w:val="uk-UA"/>
        </w:rPr>
        <w:t>дифузійно</w:t>
      </w:r>
      <w:r w:rsidR="005E5B83">
        <w:rPr>
          <w:rFonts w:ascii="Times New Roman" w:hAnsi="Times New Roman" w:cs="Times New Roman"/>
          <w:lang w:val="uk-UA"/>
        </w:rPr>
        <w:t>му</w:t>
      </w:r>
      <w:r w:rsidRPr="00BB33B7">
        <w:rPr>
          <w:rFonts w:ascii="Times New Roman" w:hAnsi="Times New Roman" w:cs="Times New Roman"/>
          <w:lang w:val="uk-UA"/>
        </w:rPr>
        <w:t xml:space="preserve"> </w:t>
      </w:r>
      <w:r w:rsidR="005E5B83">
        <w:rPr>
          <w:rFonts w:ascii="Times New Roman" w:hAnsi="Times New Roman" w:cs="Times New Roman"/>
          <w:lang w:val="uk-UA"/>
        </w:rPr>
        <w:t>методі</w:t>
      </w:r>
      <w:r w:rsidRPr="00BB33B7">
        <w:rPr>
          <w:rFonts w:ascii="Times New Roman" w:hAnsi="Times New Roman" w:cs="Times New Roman"/>
          <w:lang w:val="uk-UA"/>
        </w:rPr>
        <w:t xml:space="preserve">, що відповідає МІК&gt;1 мг/л, слід </w:t>
      </w:r>
      <w:r w:rsidR="005E5B83">
        <w:rPr>
          <w:rFonts w:ascii="Times New Roman" w:hAnsi="Times New Roman" w:cs="Times New Roman"/>
          <w:lang w:val="uk-UA"/>
        </w:rPr>
        <w:t>повідомляти</w:t>
      </w:r>
      <w:r w:rsidRPr="00BB33B7">
        <w:rPr>
          <w:rFonts w:ascii="Times New Roman" w:hAnsi="Times New Roman" w:cs="Times New Roman"/>
          <w:lang w:val="uk-UA"/>
        </w:rPr>
        <w:t xml:space="preserve"> як стійкі до бензилпеніциліну.</w:t>
      </w:r>
    </w:p>
    <w:p w14:paraId="79D8A92F" w14:textId="77777777" w:rsidR="00FC4298" w:rsidRPr="00F2106F" w:rsidRDefault="00FC4298" w:rsidP="00BB33B7">
      <w:pPr>
        <w:ind w:firstLine="567"/>
        <w:jc w:val="both"/>
        <w:rPr>
          <w:rFonts w:ascii="Times New Roman" w:hAnsi="Times New Roman" w:cs="Times New Roman"/>
          <w:sz w:val="16"/>
          <w:szCs w:val="16"/>
          <w:lang w:val="uk-UA"/>
        </w:rPr>
      </w:pPr>
    </w:p>
    <w:p w14:paraId="77266C7C" w14:textId="628CEF21" w:rsidR="00FC4298" w:rsidRPr="00BB33B7" w:rsidRDefault="005E5B83" w:rsidP="00BB33B7">
      <w:pPr>
        <w:ind w:firstLine="567"/>
        <w:jc w:val="both"/>
        <w:rPr>
          <w:rFonts w:ascii="Times New Roman" w:hAnsi="Times New Roman" w:cs="Times New Roman"/>
          <w:b/>
          <w:bCs/>
          <w:lang w:val="uk-UA"/>
        </w:rPr>
      </w:pPr>
      <w:r>
        <w:rPr>
          <w:rFonts w:ascii="Times New Roman" w:hAnsi="Times New Roman" w:cs="Times New Roman"/>
          <w:b/>
          <w:bCs/>
          <w:lang w:val="uk-UA"/>
        </w:rPr>
        <w:t>Посилання</w:t>
      </w:r>
    </w:p>
    <w:p w14:paraId="6189B38E" w14:textId="77777777" w:rsidR="00FC4298" w:rsidRPr="00BB33B7" w:rsidRDefault="00FC4298" w:rsidP="00BB33B7">
      <w:pPr>
        <w:pStyle w:val="Default"/>
        <w:rPr>
          <w:rFonts w:ascii="Times New Roman" w:hAnsi="Times New Roman" w:cs="Times New Roman"/>
        </w:rPr>
      </w:pPr>
      <w:r w:rsidRPr="00BB33B7">
        <w:rPr>
          <w:rFonts w:ascii="Times New Roman" w:hAnsi="Times New Roman" w:cs="Times New Roman"/>
        </w:rPr>
        <w:t xml:space="preserve">1. Delgado, Victoria et al. 2023 ESC Guidelines for the management of endocarditis. European heart journal vol. 44,39 (2023): 3948-4042. doi:10.1093/eurheartj/ehad193 </w:t>
      </w:r>
    </w:p>
    <w:p w14:paraId="7ABA3D07" w14:textId="77777777" w:rsidR="00FC4298" w:rsidRPr="00BB33B7" w:rsidRDefault="00FC4298" w:rsidP="00BB33B7">
      <w:pPr>
        <w:pStyle w:val="Default"/>
        <w:rPr>
          <w:rFonts w:ascii="Times New Roman" w:hAnsi="Times New Roman" w:cs="Times New Roman"/>
        </w:rPr>
      </w:pPr>
      <w:r w:rsidRPr="00BB33B7">
        <w:rPr>
          <w:rFonts w:ascii="Times New Roman" w:hAnsi="Times New Roman" w:cs="Times New Roman"/>
        </w:rPr>
        <w:t xml:space="preserve">2. Knoll, Bettina et al. Infective endocarditis due to penicillin-resistant viridans group streptococci. Clinical infectious diseases vol. 44,12 (2007): 1585-92. doi:10.1086/518174 </w:t>
      </w:r>
    </w:p>
    <w:p w14:paraId="55C42BB4" w14:textId="77777777" w:rsidR="00FC4298" w:rsidRPr="00BB33B7" w:rsidRDefault="00FC4298" w:rsidP="00BB33B7">
      <w:pPr>
        <w:pStyle w:val="Default"/>
        <w:rPr>
          <w:rFonts w:ascii="Times New Roman" w:hAnsi="Times New Roman" w:cs="Times New Roman"/>
        </w:rPr>
      </w:pPr>
      <w:r w:rsidRPr="00BB33B7">
        <w:rPr>
          <w:rFonts w:ascii="Times New Roman" w:hAnsi="Times New Roman" w:cs="Times New Roman"/>
        </w:rPr>
        <w:t xml:space="preserve">3. Pilmis, B et al. Be careful about MICs to amoxicillin for patients with Streptococci-related infective endocarditis. International journal of antimicrobial agents vol. 53,6 (2019): 850-854. doi:10.1016/j.ijantimicag.2019.03.002 </w:t>
      </w:r>
    </w:p>
    <w:p w14:paraId="61CD8376" w14:textId="77777777" w:rsidR="00FC4298" w:rsidRPr="00BB33B7" w:rsidRDefault="00FC4298" w:rsidP="00BB33B7">
      <w:pPr>
        <w:pStyle w:val="Default"/>
        <w:rPr>
          <w:rFonts w:ascii="Times New Roman" w:hAnsi="Times New Roman" w:cs="Times New Roman"/>
        </w:rPr>
      </w:pPr>
      <w:r w:rsidRPr="00BB33B7">
        <w:rPr>
          <w:rFonts w:ascii="Times New Roman" w:hAnsi="Times New Roman" w:cs="Times New Roman"/>
        </w:rPr>
        <w:t xml:space="preserve">4. Escrihuela-Vidal, Francesc et al. Impact of Intermediate Susceptibility to Penicillin on Antimicrobial Treatment and Outcomes of Endocarditis Caused by Viridans and Gallolyticus Group Streptococci. Clinical infectious diseases vol. 77,9 (2023): 1273-1281. doi:10.1093/cid/ciad375 </w:t>
      </w:r>
    </w:p>
    <w:p w14:paraId="203118FF" w14:textId="77777777" w:rsidR="00FC4298" w:rsidRPr="00FC4298" w:rsidRDefault="00FC4298" w:rsidP="00FC4298">
      <w:pPr>
        <w:jc w:val="both"/>
        <w:rPr>
          <w:rFonts w:ascii="Arial" w:hAnsi="Arial" w:cs="Arial"/>
          <w:b/>
          <w:bCs/>
          <w:sz w:val="22"/>
          <w:szCs w:val="22"/>
          <w:lang w:val="uk-UA"/>
        </w:rPr>
      </w:pPr>
    </w:p>
    <w:sectPr w:rsidR="00FC4298" w:rsidRPr="00FC4298" w:rsidSect="005E778D">
      <w:headerReference w:type="default" r:id="rId6"/>
      <w:footerReference w:type="default" r:id="rId7"/>
      <w:pgSz w:w="11906" w:h="16838"/>
      <w:pgMar w:top="850" w:right="850" w:bottom="850" w:left="1134"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C6F3B" w14:textId="77777777" w:rsidR="005D6AA6" w:rsidRDefault="005D6AA6" w:rsidP="00FC4298">
      <w:r>
        <w:separator/>
      </w:r>
    </w:p>
  </w:endnote>
  <w:endnote w:type="continuationSeparator" w:id="0">
    <w:p w14:paraId="10492CEB" w14:textId="77777777" w:rsidR="005D6AA6" w:rsidRDefault="005D6AA6" w:rsidP="00FC4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1910" w14:textId="0EA47867" w:rsidR="00FC4298" w:rsidRPr="005E5B83" w:rsidRDefault="00FC4298">
    <w:pPr>
      <w:pStyle w:val="a5"/>
      <w:rPr>
        <w:rFonts w:ascii="Times New Roman" w:hAnsi="Times New Roman" w:cs="Times New Roman"/>
        <w:color w:val="009999"/>
        <w:sz w:val="22"/>
        <w:szCs w:val="22"/>
      </w:rPr>
    </w:pPr>
    <w:r w:rsidRPr="005E5B83">
      <w:rPr>
        <w:rFonts w:ascii="Times New Roman" w:hAnsi="Times New Roman" w:cs="Times New Roman"/>
        <w:color w:val="009999"/>
        <w:sz w:val="22"/>
        <w:szCs w:val="22"/>
      </w:rPr>
      <w:t xml:space="preserve">Інструкції EUCAST щодо інфекційного ендокардиту </w:t>
    </w:r>
    <w:r w:rsidRPr="005E5B83">
      <w:rPr>
        <w:rFonts w:ascii="Times New Roman" w:hAnsi="Times New Roman" w:cs="Times New Roman"/>
        <w:color w:val="009999"/>
        <w:sz w:val="22"/>
        <w:szCs w:val="22"/>
        <w:lang w:val="uk-UA"/>
      </w:rPr>
      <w:t xml:space="preserve">         </w:t>
    </w:r>
    <w:r w:rsidR="005E5B83" w:rsidRPr="005E5B83">
      <w:rPr>
        <w:rFonts w:ascii="Times New Roman" w:hAnsi="Times New Roman" w:cs="Times New Roman"/>
        <w:color w:val="009999"/>
        <w:sz w:val="22"/>
        <w:szCs w:val="22"/>
        <w:lang w:val="uk-UA"/>
      </w:rPr>
      <w:t>Листопад</w:t>
    </w:r>
    <w:r w:rsidRPr="005E5B83">
      <w:rPr>
        <w:rFonts w:ascii="Times New Roman" w:hAnsi="Times New Roman" w:cs="Times New Roman"/>
        <w:color w:val="009999"/>
        <w:sz w:val="22"/>
        <w:szCs w:val="22"/>
      </w:rPr>
      <w:t xml:space="preserve"> 202</w:t>
    </w:r>
    <w:r w:rsidR="005E5B83" w:rsidRPr="005E5B83">
      <w:rPr>
        <w:rFonts w:ascii="Times New Roman" w:hAnsi="Times New Roman" w:cs="Times New Roman"/>
        <w:color w:val="009999"/>
        <w:sz w:val="22"/>
        <w:szCs w:val="22"/>
      </w:rPr>
      <w:t>5</w:t>
    </w:r>
    <w:r w:rsidRPr="005E5B83">
      <w:rPr>
        <w:rFonts w:ascii="Times New Roman" w:hAnsi="Times New Roman" w:cs="Times New Roman"/>
        <w:color w:val="009999"/>
        <w:sz w:val="22"/>
        <w:szCs w:val="22"/>
      </w:rPr>
      <w:t xml:space="preserve"> р. </w:t>
    </w:r>
    <w:r w:rsidRPr="005E5B83">
      <w:rPr>
        <w:rFonts w:ascii="Times New Roman" w:hAnsi="Times New Roman" w:cs="Times New Roman"/>
        <w:color w:val="009999"/>
        <w:sz w:val="22"/>
        <w:szCs w:val="22"/>
        <w:lang w:val="uk-UA"/>
      </w:rPr>
      <w:t xml:space="preserve">                  </w:t>
    </w:r>
    <w:r w:rsidRPr="005E5B83">
      <w:rPr>
        <w:rFonts w:ascii="Times New Roman" w:hAnsi="Times New Roman" w:cs="Times New Roman"/>
        <w:color w:val="009999"/>
        <w:sz w:val="22"/>
        <w:szCs w:val="22"/>
      </w:rPr>
      <w:t xml:space="preserve">Сторінка </w:t>
    </w:r>
    <w:r w:rsidRPr="005E5B83">
      <w:rPr>
        <w:rFonts w:ascii="Times New Roman" w:hAnsi="Times New Roman" w:cs="Times New Roman"/>
        <w:color w:val="009999"/>
        <w:sz w:val="22"/>
        <w:szCs w:val="22"/>
      </w:rPr>
      <w:fldChar w:fldCharType="begin"/>
    </w:r>
    <w:r w:rsidRPr="005E5B83">
      <w:rPr>
        <w:rFonts w:ascii="Times New Roman" w:hAnsi="Times New Roman" w:cs="Times New Roman"/>
        <w:color w:val="009999"/>
        <w:sz w:val="22"/>
        <w:szCs w:val="22"/>
      </w:rPr>
      <w:instrText>PAGE   \* MERGEFORMAT</w:instrText>
    </w:r>
    <w:r w:rsidRPr="005E5B83">
      <w:rPr>
        <w:rFonts w:ascii="Times New Roman" w:hAnsi="Times New Roman" w:cs="Times New Roman"/>
        <w:color w:val="009999"/>
        <w:sz w:val="22"/>
        <w:szCs w:val="22"/>
      </w:rPr>
      <w:fldChar w:fldCharType="separate"/>
    </w:r>
    <w:r w:rsidRPr="005E5B83">
      <w:rPr>
        <w:rFonts w:ascii="Times New Roman" w:hAnsi="Times New Roman" w:cs="Times New Roman"/>
        <w:color w:val="009999"/>
        <w:sz w:val="22"/>
        <w:szCs w:val="22"/>
        <w:lang w:val="uk-UA"/>
      </w:rPr>
      <w:t>1</w:t>
    </w:r>
    <w:r w:rsidRPr="005E5B83">
      <w:rPr>
        <w:rFonts w:ascii="Times New Roman" w:hAnsi="Times New Roman" w:cs="Times New Roman"/>
        <w:color w:val="009999"/>
        <w:sz w:val="22"/>
        <w:szCs w:val="22"/>
      </w:rPr>
      <w:fldChar w:fldCharType="end"/>
    </w:r>
    <w:r w:rsidRPr="005E5B83">
      <w:rPr>
        <w:rFonts w:ascii="Times New Roman" w:hAnsi="Times New Roman" w:cs="Times New Roman"/>
        <w:color w:val="009999"/>
        <w:sz w:val="22"/>
        <w:szCs w:val="22"/>
        <w:lang w:val="uk-UA"/>
      </w:rPr>
      <w:t xml:space="preserve"> </w:t>
    </w:r>
    <w:r w:rsidRPr="005E5B83">
      <w:rPr>
        <w:rFonts w:ascii="Times New Roman" w:hAnsi="Times New Roman" w:cs="Times New Roman"/>
        <w:color w:val="009999"/>
        <w:sz w:val="22"/>
        <w:szCs w:val="22"/>
      </w:rPr>
      <w:t>із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32BD0" w14:textId="77777777" w:rsidR="005D6AA6" w:rsidRDefault="005D6AA6" w:rsidP="00FC4298">
      <w:r>
        <w:separator/>
      </w:r>
    </w:p>
  </w:footnote>
  <w:footnote w:type="continuationSeparator" w:id="0">
    <w:p w14:paraId="792B101E" w14:textId="77777777" w:rsidR="005D6AA6" w:rsidRDefault="005D6AA6" w:rsidP="00FC4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8E0E5" w14:textId="18D97836" w:rsidR="00BB33B7" w:rsidRDefault="005E778D" w:rsidP="005E778D">
    <w:pPr>
      <w:pStyle w:val="a3"/>
      <w:jc w:val="center"/>
    </w:pPr>
    <w:r w:rsidRPr="005E778D">
      <w:drawing>
        <wp:inline distT="0" distB="0" distL="0" distR="0" wp14:anchorId="69E55F7E" wp14:editId="1F8D679A">
          <wp:extent cx="3277057" cy="704948"/>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277057" cy="7049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530"/>
    <w:rsid w:val="003129AA"/>
    <w:rsid w:val="005D6AA6"/>
    <w:rsid w:val="005E5B83"/>
    <w:rsid w:val="005E778D"/>
    <w:rsid w:val="009510EA"/>
    <w:rsid w:val="00BB33B7"/>
    <w:rsid w:val="00E42530"/>
    <w:rsid w:val="00F2106F"/>
    <w:rsid w:val="00F6395F"/>
    <w:rsid w:val="00FC42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E7102"/>
  <w15:chartTrackingRefBased/>
  <w15:docId w15:val="{BE6EE7EE-2C7C-4890-B858-7BB8A84A2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42530"/>
    <w:pPr>
      <w:widowControl w:val="0"/>
      <w:spacing w:after="0" w:line="240" w:lineRule="auto"/>
    </w:pPr>
    <w:rPr>
      <w:rFonts w:ascii="Courier New" w:eastAsia="Courier New" w:hAnsi="Courier New" w:cs="Courier New"/>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4298"/>
    <w:pPr>
      <w:tabs>
        <w:tab w:val="center" w:pos="4819"/>
        <w:tab w:val="right" w:pos="9639"/>
      </w:tabs>
    </w:pPr>
  </w:style>
  <w:style w:type="character" w:customStyle="1" w:styleId="a4">
    <w:name w:val="Верхній колонтитул Знак"/>
    <w:basedOn w:val="a0"/>
    <w:link w:val="a3"/>
    <w:uiPriority w:val="99"/>
    <w:rsid w:val="00FC4298"/>
    <w:rPr>
      <w:rFonts w:ascii="Courier New" w:eastAsia="Courier New" w:hAnsi="Courier New" w:cs="Courier New"/>
      <w:color w:val="000000"/>
      <w:sz w:val="24"/>
      <w:szCs w:val="24"/>
      <w:lang w:val="en-US" w:bidi="en-US"/>
    </w:rPr>
  </w:style>
  <w:style w:type="paragraph" w:styleId="a5">
    <w:name w:val="footer"/>
    <w:basedOn w:val="a"/>
    <w:link w:val="a6"/>
    <w:uiPriority w:val="99"/>
    <w:unhideWhenUsed/>
    <w:rsid w:val="00FC4298"/>
    <w:pPr>
      <w:tabs>
        <w:tab w:val="center" w:pos="4819"/>
        <w:tab w:val="right" w:pos="9639"/>
      </w:tabs>
    </w:pPr>
  </w:style>
  <w:style w:type="character" w:customStyle="1" w:styleId="a6">
    <w:name w:val="Нижній колонтитул Знак"/>
    <w:basedOn w:val="a0"/>
    <w:link w:val="a5"/>
    <w:uiPriority w:val="99"/>
    <w:rsid w:val="00FC4298"/>
    <w:rPr>
      <w:rFonts w:ascii="Courier New" w:eastAsia="Courier New" w:hAnsi="Courier New" w:cs="Courier New"/>
      <w:color w:val="000000"/>
      <w:sz w:val="24"/>
      <w:szCs w:val="24"/>
      <w:lang w:val="en-US" w:bidi="en-US"/>
    </w:rPr>
  </w:style>
  <w:style w:type="paragraph" w:customStyle="1" w:styleId="Default">
    <w:name w:val="Default"/>
    <w:rsid w:val="00FC429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4631</Words>
  <Characters>2641</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Valentyna Yanovska</dc:creator>
  <cp:keywords/>
  <dc:description/>
  <cp:lastModifiedBy>Valentyna Yanovska</cp:lastModifiedBy>
  <cp:revision>4</cp:revision>
  <dcterms:created xsi:type="dcterms:W3CDTF">2026-01-04T15:31:00Z</dcterms:created>
  <dcterms:modified xsi:type="dcterms:W3CDTF">2026-01-04T16:43:00Z</dcterms:modified>
</cp:coreProperties>
</file>